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95"/>
        <w:gridCol w:w="6655"/>
      </w:tblGrid>
      <w:tr w:rsidR="003519EE" w:rsidRPr="003F6108" w14:paraId="70FE4D59" w14:textId="77777777" w:rsidTr="00932E1A">
        <w:trPr>
          <w:trHeight w:val="576"/>
        </w:trPr>
        <w:tc>
          <w:tcPr>
            <w:tcW w:w="9350" w:type="dxa"/>
            <w:gridSpan w:val="2"/>
            <w:shd w:val="clear" w:color="auto" w:fill="BDD6EE" w:themeFill="accent5" w:themeFillTint="66"/>
            <w:vAlign w:val="center"/>
          </w:tcPr>
          <w:p w14:paraId="70791A99" w14:textId="77777777" w:rsidR="003519EE" w:rsidRPr="003F6108" w:rsidRDefault="003519EE" w:rsidP="00932E1A">
            <w:pPr>
              <w:spacing w:before="120" w:after="120" w:line="259" w:lineRule="auto"/>
              <w:jc w:val="center"/>
              <w:rPr>
                <w:rFonts w:cstheme="minorHAnsi"/>
                <w:sz w:val="32"/>
                <w:szCs w:val="32"/>
              </w:rPr>
            </w:pPr>
            <w:r w:rsidRPr="003F6108">
              <w:rPr>
                <w:rFonts w:eastAsia="Times New Roman" w:cstheme="minorHAnsi"/>
                <w:b/>
                <w:bCs/>
                <w:color w:val="000000"/>
                <w:sz w:val="32"/>
                <w:szCs w:val="32"/>
              </w:rPr>
              <w:t>Mathe</w:t>
            </w:r>
            <w:r w:rsidRPr="003F6108">
              <w:rPr>
                <w:rFonts w:cstheme="minorHAnsi"/>
                <w:b/>
                <w:bCs/>
                <w:color w:val="000000"/>
                <w:sz w:val="32"/>
                <w:szCs w:val="32"/>
              </w:rPr>
              <w:t>matics</w:t>
            </w:r>
          </w:p>
        </w:tc>
      </w:tr>
      <w:tr w:rsidR="003519EE" w:rsidRPr="003F6108" w14:paraId="67995A68" w14:textId="77777777" w:rsidTr="00932E1A">
        <w:trPr>
          <w:trHeight w:val="432"/>
        </w:trPr>
        <w:tc>
          <w:tcPr>
            <w:tcW w:w="2695" w:type="dxa"/>
            <w:shd w:val="clear" w:color="auto" w:fill="DEEAF6" w:themeFill="accent5" w:themeFillTint="33"/>
            <w:vAlign w:val="center"/>
          </w:tcPr>
          <w:p w14:paraId="66EA5394" w14:textId="77777777" w:rsidR="003519EE" w:rsidRPr="003F6108" w:rsidRDefault="003519EE" w:rsidP="00932E1A">
            <w:pPr>
              <w:spacing w:before="120" w:after="120" w:line="259" w:lineRule="auto"/>
              <w:rPr>
                <w:sz w:val="24"/>
                <w:szCs w:val="24"/>
              </w:rPr>
            </w:pPr>
            <w:r w:rsidRPr="003F6108">
              <w:rPr>
                <w:rFonts w:ascii="Arial" w:eastAsia="Times New Roman" w:hAnsi="Arial" w:cs="Arial"/>
                <w:b/>
                <w:bCs/>
                <w:color w:val="000000"/>
                <w:sz w:val="24"/>
                <w:szCs w:val="24"/>
              </w:rPr>
              <w:t>Resource</w:t>
            </w:r>
          </w:p>
        </w:tc>
        <w:tc>
          <w:tcPr>
            <w:tcW w:w="6655" w:type="dxa"/>
            <w:shd w:val="clear" w:color="auto" w:fill="DEEAF6" w:themeFill="accent5" w:themeFillTint="33"/>
            <w:vAlign w:val="center"/>
          </w:tcPr>
          <w:p w14:paraId="46954588" w14:textId="77777777" w:rsidR="003519EE" w:rsidRPr="003F6108" w:rsidRDefault="003519EE" w:rsidP="00932E1A">
            <w:pPr>
              <w:spacing w:before="120" w:after="120" w:line="259" w:lineRule="auto"/>
              <w:rPr>
                <w:sz w:val="24"/>
                <w:szCs w:val="24"/>
              </w:rPr>
            </w:pPr>
            <w:r w:rsidRPr="003F6108">
              <w:rPr>
                <w:rFonts w:ascii="Arial" w:eastAsia="Times New Roman" w:hAnsi="Arial" w:cs="Arial"/>
                <w:b/>
                <w:bCs/>
                <w:color w:val="000000"/>
                <w:sz w:val="24"/>
                <w:szCs w:val="24"/>
              </w:rPr>
              <w:t>Additional Information</w:t>
            </w:r>
          </w:p>
        </w:tc>
      </w:tr>
      <w:tr w:rsidR="003519EE" w14:paraId="5B012727" w14:textId="77777777" w:rsidTr="00932E1A">
        <w:tc>
          <w:tcPr>
            <w:tcW w:w="2695" w:type="dxa"/>
          </w:tcPr>
          <w:p w14:paraId="012E261F" w14:textId="77777777" w:rsidR="003519EE" w:rsidRPr="00F60932" w:rsidRDefault="00F60932" w:rsidP="00932E1A">
            <w:pPr>
              <w:spacing w:before="120" w:after="120" w:line="259" w:lineRule="auto"/>
              <w:rPr>
                <w:color w:val="4472C4" w:themeColor="accent1"/>
                <w:u w:val="single"/>
              </w:rPr>
            </w:pPr>
            <w:hyperlink r:id="rId7" w:tgtFrame="_blank" w:history="1">
              <w:r w:rsidR="003519EE" w:rsidRPr="00F60932">
                <w:rPr>
                  <w:rStyle w:val="normaltextrun"/>
                  <w:rFonts w:ascii="Calibri" w:hAnsi="Calibri" w:cs="Calibri"/>
                  <w:color w:val="4472C4" w:themeColor="accent1"/>
                  <w:u w:val="single"/>
                  <w:shd w:val="clear" w:color="auto" w:fill="FFFFFF"/>
                </w:rPr>
                <w:t>Bedtime Math</w:t>
              </w:r>
            </w:hyperlink>
          </w:p>
        </w:tc>
        <w:tc>
          <w:tcPr>
            <w:tcW w:w="6655" w:type="dxa"/>
          </w:tcPr>
          <w:p w14:paraId="62791AAC" w14:textId="77777777" w:rsidR="003519EE" w:rsidRDefault="003519EE" w:rsidP="00932E1A">
            <w:pPr>
              <w:pStyle w:val="NormalWeb"/>
              <w:spacing w:before="120" w:beforeAutospacing="0" w:after="120" w:afterAutospacing="0" w:line="259" w:lineRule="auto"/>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shd w:val="clear" w:color="auto" w:fill="FFFFFF"/>
              </w:rPr>
              <w:t>Daily posts of math problems for families to build mathematical literacy. Five minutes of number fun for kids and parents at home. Read a cool fact, followed by math riddles at different developmental levels so everyone can jump in! - Grades K-6</w:t>
            </w:r>
          </w:p>
        </w:tc>
      </w:tr>
      <w:tr w:rsidR="003519EE" w14:paraId="6EE0D0DC" w14:textId="77777777" w:rsidTr="00932E1A">
        <w:tc>
          <w:tcPr>
            <w:tcW w:w="2695" w:type="dxa"/>
          </w:tcPr>
          <w:p w14:paraId="5647F356" w14:textId="77777777" w:rsidR="003519EE" w:rsidRPr="00F60932" w:rsidRDefault="00F60932" w:rsidP="00932E1A">
            <w:pPr>
              <w:spacing w:before="120" w:after="120" w:line="259" w:lineRule="auto"/>
              <w:rPr>
                <w:color w:val="4472C4" w:themeColor="accent1"/>
                <w:u w:val="single"/>
              </w:rPr>
            </w:pPr>
            <w:hyperlink r:id="rId8" w:history="1">
              <w:r w:rsidR="003519EE" w:rsidRPr="00F60932">
                <w:rPr>
                  <w:rStyle w:val="Hyperlink"/>
                  <w:rFonts w:ascii="Arial" w:eastAsia="Times New Roman" w:hAnsi="Arial" w:cs="Arial"/>
                  <w:color w:val="4472C4" w:themeColor="accent1"/>
                  <w:sz w:val="20"/>
                  <w:szCs w:val="20"/>
                </w:rPr>
                <w:t xml:space="preserve">Bowland </w:t>
              </w:r>
              <w:proofErr w:type="spellStart"/>
              <w:r w:rsidR="003519EE" w:rsidRPr="00F60932">
                <w:rPr>
                  <w:rStyle w:val="Hyperlink"/>
                  <w:rFonts w:ascii="Arial" w:eastAsia="Times New Roman" w:hAnsi="Arial" w:cs="Arial"/>
                  <w:color w:val="4472C4" w:themeColor="accent1"/>
                  <w:sz w:val="20"/>
                  <w:szCs w:val="20"/>
                </w:rPr>
                <w:t>Maths</w:t>
              </w:r>
              <w:proofErr w:type="spellEnd"/>
            </w:hyperlink>
          </w:p>
        </w:tc>
        <w:tc>
          <w:tcPr>
            <w:tcW w:w="6655" w:type="dxa"/>
          </w:tcPr>
          <w:p w14:paraId="214F00DD" w14:textId="77777777" w:rsidR="003519EE" w:rsidRDefault="003519EE" w:rsidP="00932E1A">
            <w:pPr>
              <w:spacing w:before="120" w:after="120" w:line="259" w:lineRule="auto"/>
            </w:pPr>
            <w:r>
              <w:rPr>
                <w:rFonts w:ascii="Arial" w:eastAsia="Times New Roman" w:hAnsi="Arial" w:cs="Arial"/>
                <w:color w:val="000000"/>
                <w:sz w:val="20"/>
                <w:szCs w:val="20"/>
              </w:rPr>
              <w:t>Imaginative resources for rich problem solving for students “aged 11-14.”</w:t>
            </w:r>
          </w:p>
        </w:tc>
      </w:tr>
      <w:tr w:rsidR="003519EE" w14:paraId="049CA9B9" w14:textId="77777777" w:rsidTr="00932E1A">
        <w:tc>
          <w:tcPr>
            <w:tcW w:w="2695" w:type="dxa"/>
          </w:tcPr>
          <w:p w14:paraId="41B97910" w14:textId="77777777" w:rsidR="003519EE" w:rsidRPr="00F60932" w:rsidRDefault="00F60932" w:rsidP="00932E1A">
            <w:pPr>
              <w:spacing w:before="120" w:after="120" w:line="259" w:lineRule="auto"/>
              <w:rPr>
                <w:color w:val="4472C4" w:themeColor="accent1"/>
                <w:u w:val="single"/>
              </w:rPr>
            </w:pPr>
            <w:hyperlink r:id="rId9" w:history="1">
              <w:r w:rsidR="003519EE" w:rsidRPr="00F60932">
                <w:rPr>
                  <w:rStyle w:val="Hyperlink"/>
                  <w:rFonts w:ascii="Arial" w:hAnsi="Arial" w:cs="Arial"/>
                  <w:color w:val="4472C4" w:themeColor="accent1"/>
                  <w:sz w:val="20"/>
                  <w:szCs w:val="20"/>
                </w:rPr>
                <w:t>Desmos</w:t>
              </w:r>
            </w:hyperlink>
          </w:p>
        </w:tc>
        <w:tc>
          <w:tcPr>
            <w:tcW w:w="6655" w:type="dxa"/>
          </w:tcPr>
          <w:p w14:paraId="03663F72" w14:textId="77777777" w:rsidR="003519EE" w:rsidRDefault="003519EE" w:rsidP="00932E1A">
            <w:pPr>
              <w:spacing w:before="120" w:after="120" w:line="259" w:lineRule="auto"/>
            </w:pPr>
            <w:r w:rsidRPr="00013A2F">
              <w:rPr>
                <w:rFonts w:ascii="Arial" w:eastAsia="Times New Roman" w:hAnsi="Arial" w:cs="Arial"/>
                <w:color w:val="000000"/>
                <w:sz w:val="20"/>
                <w:szCs w:val="20"/>
              </w:rPr>
              <w:t>Online Calculators, activities</w:t>
            </w:r>
            <w:r>
              <w:rPr>
                <w:rFonts w:ascii="Arial" w:eastAsia="Times New Roman" w:hAnsi="Arial" w:cs="Arial"/>
                <w:color w:val="000000"/>
                <w:sz w:val="20"/>
                <w:szCs w:val="20"/>
              </w:rPr>
              <w:t xml:space="preserve"> </w:t>
            </w:r>
            <w:r>
              <w:rPr>
                <w:color w:val="000000"/>
              </w:rPr>
              <w:t>for students</w:t>
            </w:r>
            <w:r w:rsidRPr="00013A2F">
              <w:rPr>
                <w:rFonts w:ascii="Arial" w:eastAsia="Times New Roman" w:hAnsi="Arial" w:cs="Arial"/>
                <w:color w:val="000000"/>
                <w:sz w:val="20"/>
                <w:szCs w:val="20"/>
              </w:rPr>
              <w:t xml:space="preserve"> and webinars for teachers.</w:t>
            </w:r>
          </w:p>
        </w:tc>
      </w:tr>
      <w:tr w:rsidR="003519EE" w14:paraId="50CDA12C" w14:textId="77777777" w:rsidTr="00932E1A">
        <w:tc>
          <w:tcPr>
            <w:tcW w:w="2695" w:type="dxa"/>
          </w:tcPr>
          <w:p w14:paraId="0927BF41" w14:textId="77777777" w:rsidR="003519EE" w:rsidRPr="00F60932" w:rsidRDefault="00F60932" w:rsidP="00932E1A">
            <w:pPr>
              <w:spacing w:before="120" w:after="120" w:line="259" w:lineRule="auto"/>
              <w:rPr>
                <w:color w:val="4472C4" w:themeColor="accent1"/>
                <w:u w:val="single"/>
              </w:rPr>
            </w:pPr>
            <w:hyperlink r:id="rId10" w:history="1">
              <w:r w:rsidR="003519EE" w:rsidRPr="00F60932">
                <w:rPr>
                  <w:rStyle w:val="Hyperlink"/>
                  <w:rFonts w:ascii="Arial" w:eastAsia="Times New Roman" w:hAnsi="Arial" w:cs="Arial"/>
                  <w:color w:val="4472C4" w:themeColor="accent1"/>
                  <w:sz w:val="20"/>
                  <w:szCs w:val="20"/>
                </w:rPr>
                <w:t>Estimation 180</w:t>
              </w:r>
            </w:hyperlink>
          </w:p>
        </w:tc>
        <w:tc>
          <w:tcPr>
            <w:tcW w:w="6655" w:type="dxa"/>
          </w:tcPr>
          <w:p w14:paraId="54E0D80F" w14:textId="77777777" w:rsidR="003519EE" w:rsidRDefault="003519EE" w:rsidP="00932E1A">
            <w:pPr>
              <w:spacing w:before="120" w:after="120" w:line="259" w:lineRule="auto"/>
            </w:pPr>
            <w:r>
              <w:rPr>
                <w:rFonts w:ascii="Arial" w:eastAsia="Times New Roman" w:hAnsi="Arial" w:cs="Arial"/>
                <w:color w:val="000000"/>
                <w:sz w:val="20"/>
                <w:szCs w:val="20"/>
              </w:rPr>
              <w:t xml:space="preserve">Tasks </w:t>
            </w:r>
            <w:r>
              <w:rPr>
                <w:rFonts w:ascii="Arial" w:eastAsia="Times New Roman" w:hAnsi="Arial" w:cs="Arial"/>
                <w:sz w:val="20"/>
                <w:szCs w:val="20"/>
              </w:rPr>
              <w:t xml:space="preserve">and lessons </w:t>
            </w:r>
            <w:r>
              <w:rPr>
                <w:rFonts w:ascii="Arial" w:eastAsia="Times New Roman" w:hAnsi="Arial" w:cs="Arial"/>
                <w:color w:val="000000"/>
                <w:sz w:val="20"/>
                <w:szCs w:val="20"/>
              </w:rPr>
              <w:t xml:space="preserve">designed to build number sense and reasoning designed to empower students’ estimation skills. </w:t>
            </w:r>
            <w:r>
              <w:rPr>
                <w:rStyle w:val="normaltextrun"/>
                <w:rFonts w:ascii="Calibri" w:hAnsi="Calibri" w:cs="Calibri"/>
                <w:color w:val="000000"/>
              </w:rPr>
              <w:t>- Grades 4</w:t>
            </w:r>
            <w:r>
              <w:rPr>
                <w:rStyle w:val="normaltextrun"/>
                <w:rFonts w:ascii="Calibri" w:hAnsi="Calibri" w:cs="Calibri"/>
              </w:rPr>
              <w:t>-8</w:t>
            </w:r>
            <w:r>
              <w:rPr>
                <w:rFonts w:ascii="Arial" w:eastAsia="Times New Roman" w:hAnsi="Arial" w:cs="Arial"/>
                <w:color w:val="000000"/>
                <w:sz w:val="20"/>
                <w:szCs w:val="20"/>
              </w:rPr>
              <w:t xml:space="preserve"> </w:t>
            </w:r>
          </w:p>
        </w:tc>
      </w:tr>
      <w:tr w:rsidR="003519EE" w14:paraId="76E34D1B" w14:textId="77777777" w:rsidTr="00932E1A">
        <w:tc>
          <w:tcPr>
            <w:tcW w:w="2695" w:type="dxa"/>
          </w:tcPr>
          <w:p w14:paraId="7BACFA22" w14:textId="77777777" w:rsidR="003519EE" w:rsidRPr="00F60932" w:rsidRDefault="00F60932" w:rsidP="00932E1A">
            <w:pPr>
              <w:spacing w:before="120" w:after="120" w:line="259" w:lineRule="auto"/>
              <w:rPr>
                <w:color w:val="4472C4" w:themeColor="accent1"/>
                <w:u w:val="single"/>
              </w:rPr>
            </w:pPr>
            <w:hyperlink r:id="rId11" w:tgtFrame="_blank" w:history="1">
              <w:proofErr w:type="spellStart"/>
              <w:r w:rsidR="003519EE" w:rsidRPr="00F60932">
                <w:rPr>
                  <w:rStyle w:val="normaltextrun"/>
                  <w:rFonts w:ascii="Calibri" w:hAnsi="Calibri" w:cs="Calibri"/>
                  <w:color w:val="4472C4" w:themeColor="accent1"/>
                  <w:u w:val="single"/>
                  <w:shd w:val="clear" w:color="auto" w:fill="FFFFFF"/>
                </w:rPr>
                <w:t>Esti</w:t>
              </w:r>
              <w:proofErr w:type="spellEnd"/>
              <w:r w:rsidR="003519EE" w:rsidRPr="00F60932">
                <w:rPr>
                  <w:rStyle w:val="normaltextrun"/>
                  <w:rFonts w:ascii="Calibri" w:hAnsi="Calibri" w:cs="Calibri"/>
                  <w:color w:val="4472C4" w:themeColor="accent1"/>
                  <w:u w:val="single"/>
                  <w:shd w:val="clear" w:color="auto" w:fill="FFFFFF"/>
                </w:rPr>
                <w:t>-Mysteries</w:t>
              </w:r>
            </w:hyperlink>
          </w:p>
        </w:tc>
        <w:tc>
          <w:tcPr>
            <w:tcW w:w="6655" w:type="dxa"/>
          </w:tcPr>
          <w:p w14:paraId="3604F2CC" w14:textId="77777777" w:rsidR="003519EE" w:rsidRDefault="003519EE" w:rsidP="00932E1A">
            <w:pPr>
              <w:pStyle w:val="NormalWeb"/>
              <w:spacing w:before="120" w:beforeAutospacing="0" w:after="120" w:afterAutospacing="0" w:line="259" w:lineRule="auto"/>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rPr>
              <w:t xml:space="preserve">Estimation meets mystery as students are provided with an image and are invited to wonder what number it represents.  Scroll down to find programmatic sets of links to PowerPoint </w:t>
            </w:r>
            <w:proofErr w:type="spellStart"/>
            <w:r>
              <w:rPr>
                <w:rStyle w:val="normaltextrun"/>
                <w:rFonts w:ascii="Calibri" w:hAnsi="Calibri" w:cs="Calibri"/>
                <w:color w:val="000000"/>
                <w:sz w:val="22"/>
                <w:szCs w:val="22"/>
              </w:rPr>
              <w:t>Esti</w:t>
            </w:r>
            <w:proofErr w:type="spellEnd"/>
            <w:r>
              <w:rPr>
                <w:rStyle w:val="normaltextrun"/>
                <w:rFonts w:ascii="Calibri" w:hAnsi="Calibri" w:cs="Calibri"/>
                <w:color w:val="000000"/>
                <w:sz w:val="22"/>
                <w:szCs w:val="22"/>
              </w:rPr>
              <w:t>-Mysteries. - Grades PK-12</w:t>
            </w:r>
          </w:p>
        </w:tc>
      </w:tr>
      <w:tr w:rsidR="003519EE" w14:paraId="79DFC96B" w14:textId="77777777" w:rsidTr="00932E1A">
        <w:tc>
          <w:tcPr>
            <w:tcW w:w="2695" w:type="dxa"/>
          </w:tcPr>
          <w:p w14:paraId="0911EC37" w14:textId="77777777" w:rsidR="003519EE" w:rsidRPr="00F60932" w:rsidRDefault="00F60932" w:rsidP="00932E1A">
            <w:pPr>
              <w:spacing w:before="120" w:after="120" w:line="259" w:lineRule="auto"/>
              <w:rPr>
                <w:color w:val="4472C4" w:themeColor="accent1"/>
                <w:u w:val="single"/>
              </w:rPr>
            </w:pPr>
            <w:hyperlink r:id="rId12" w:history="1">
              <w:r w:rsidR="003519EE" w:rsidRPr="00F60932">
                <w:rPr>
                  <w:rStyle w:val="Hyperlink"/>
                  <w:rFonts w:ascii="Arial" w:eastAsia="Times New Roman" w:hAnsi="Arial" w:cs="Arial"/>
                  <w:color w:val="4472C4" w:themeColor="accent1"/>
                  <w:sz w:val="20"/>
                  <w:szCs w:val="20"/>
                </w:rPr>
                <w:t>K</w:t>
              </w:r>
              <w:r w:rsidR="003519EE" w:rsidRPr="00F60932">
                <w:rPr>
                  <w:rStyle w:val="Hyperlink"/>
                  <w:color w:val="4472C4" w:themeColor="accent1"/>
                </w:rPr>
                <w:t>han Academy m</w:t>
              </w:r>
              <w:r w:rsidR="003519EE" w:rsidRPr="00F60932">
                <w:rPr>
                  <w:rStyle w:val="Hyperlink"/>
                  <w:rFonts w:ascii="Arial" w:eastAsia="Times New Roman" w:hAnsi="Arial" w:cs="Arial"/>
                  <w:color w:val="4472C4" w:themeColor="accent1"/>
                  <w:sz w:val="20"/>
                  <w:szCs w:val="20"/>
                </w:rPr>
                <w:t>ath lessons a</w:t>
              </w:r>
              <w:r w:rsidR="003519EE" w:rsidRPr="00F60932">
                <w:rPr>
                  <w:rStyle w:val="Hyperlink"/>
                  <w:color w:val="4472C4" w:themeColor="accent1"/>
                </w:rPr>
                <w:t>nd</w:t>
              </w:r>
              <w:r w:rsidR="003519EE" w:rsidRPr="00F60932">
                <w:rPr>
                  <w:rStyle w:val="Hyperlink"/>
                  <w:rFonts w:ascii="Arial" w:eastAsia="Times New Roman" w:hAnsi="Arial" w:cs="Arial"/>
                  <w:color w:val="4472C4" w:themeColor="accent1"/>
                  <w:sz w:val="20"/>
                  <w:szCs w:val="20"/>
                </w:rPr>
                <w:t xml:space="preserve"> practice</w:t>
              </w:r>
            </w:hyperlink>
          </w:p>
        </w:tc>
        <w:tc>
          <w:tcPr>
            <w:tcW w:w="6655" w:type="dxa"/>
          </w:tcPr>
          <w:p w14:paraId="0F9FA092" w14:textId="77777777" w:rsidR="003519EE" w:rsidRDefault="003519EE" w:rsidP="00932E1A">
            <w:pPr>
              <w:spacing w:before="120" w:after="120" w:line="259" w:lineRule="auto"/>
            </w:pPr>
            <w:r>
              <w:rPr>
                <w:rFonts w:ascii="Arial" w:eastAsia="Times New Roman" w:hAnsi="Arial" w:cs="Arial"/>
                <w:color w:val="000000"/>
                <w:sz w:val="20"/>
                <w:szCs w:val="20"/>
              </w:rPr>
              <w:t>O</w:t>
            </w:r>
            <w:r>
              <w:rPr>
                <w:rFonts w:ascii="Arial" w:eastAsia="Times New Roman" w:hAnsi="Arial" w:cs="Arial"/>
                <w:sz w:val="20"/>
                <w:szCs w:val="20"/>
              </w:rPr>
              <w:t>nline</w:t>
            </w:r>
            <w:r>
              <w:rPr>
                <w:rFonts w:ascii="Arial" w:eastAsia="Times New Roman" w:hAnsi="Arial" w:cs="Arial"/>
                <w:color w:val="000000"/>
                <w:sz w:val="20"/>
                <w:szCs w:val="20"/>
              </w:rPr>
              <w:t xml:space="preserve"> lessons for student in </w:t>
            </w:r>
            <w:r w:rsidRPr="003D71ED">
              <w:rPr>
                <w:rFonts w:ascii="Arial" w:eastAsia="Times New Roman" w:hAnsi="Arial" w:cs="Arial"/>
                <w:color w:val="000000"/>
                <w:sz w:val="20"/>
                <w:szCs w:val="20"/>
              </w:rPr>
              <w:t xml:space="preserve">Pre-K </w:t>
            </w:r>
            <w:r>
              <w:rPr>
                <w:rFonts w:ascii="Arial" w:eastAsia="Times New Roman" w:hAnsi="Arial" w:cs="Arial"/>
                <w:color w:val="000000"/>
                <w:sz w:val="20"/>
                <w:szCs w:val="20"/>
              </w:rPr>
              <w:t>–</w:t>
            </w:r>
            <w:r w:rsidRPr="003D71ED">
              <w:rPr>
                <w:rFonts w:ascii="Arial" w:eastAsia="Times New Roman" w:hAnsi="Arial" w:cs="Arial"/>
                <w:color w:val="000000"/>
                <w:sz w:val="20"/>
                <w:szCs w:val="20"/>
              </w:rPr>
              <w:t xml:space="preserve"> HS</w:t>
            </w:r>
            <w:r>
              <w:rPr>
                <w:rFonts w:ascii="Arial" w:eastAsia="Times New Roman" w:hAnsi="Arial" w:cs="Arial"/>
                <w:color w:val="000000"/>
                <w:sz w:val="20"/>
                <w:szCs w:val="20"/>
              </w:rPr>
              <w:t xml:space="preserve">. </w:t>
            </w:r>
            <w:r>
              <w:rPr>
                <w:rFonts w:ascii="Arial" w:eastAsia="Times New Roman" w:hAnsi="Arial" w:cs="Arial"/>
                <w:sz w:val="20"/>
                <w:szCs w:val="20"/>
              </w:rPr>
              <w:t xml:space="preserve"> </w:t>
            </w:r>
            <w:r>
              <w:rPr>
                <w:rFonts w:ascii="Arial" w:eastAsia="Times New Roman" w:hAnsi="Arial" w:cs="Arial"/>
                <w:sz w:val="20"/>
                <w:szCs w:val="20"/>
              </w:rPr>
              <w:br/>
            </w:r>
            <w:bookmarkStart w:id="0" w:name="_GoBack"/>
            <w:r w:rsidR="00F60932" w:rsidRPr="00F60932">
              <w:rPr>
                <w:rStyle w:val="Hyperlink"/>
                <w:rFonts w:ascii="Arial" w:eastAsia="Times New Roman" w:hAnsi="Arial" w:cs="Arial"/>
                <w:color w:val="4472C4" w:themeColor="accent1"/>
                <w:sz w:val="20"/>
                <w:szCs w:val="20"/>
              </w:rPr>
              <w:fldChar w:fldCharType="begin"/>
            </w:r>
            <w:r w:rsidR="00F60932" w:rsidRPr="00F60932">
              <w:rPr>
                <w:rStyle w:val="Hyperlink"/>
                <w:rFonts w:ascii="Arial" w:eastAsia="Times New Roman" w:hAnsi="Arial" w:cs="Arial"/>
                <w:color w:val="4472C4" w:themeColor="accent1"/>
                <w:sz w:val="20"/>
                <w:szCs w:val="20"/>
              </w:rPr>
              <w:instrText xml:space="preserve"> HYPERLINK "https://khanacademy.zendesk.com/hc/en-us/articles/360040167432-How-can-Khan-Academy-be-used-for-remote-learning-during-school-closures-" </w:instrText>
            </w:r>
            <w:r w:rsidR="00F60932" w:rsidRPr="00F60932">
              <w:rPr>
                <w:rStyle w:val="Hyperlink"/>
                <w:rFonts w:ascii="Arial" w:eastAsia="Times New Roman" w:hAnsi="Arial" w:cs="Arial"/>
                <w:color w:val="4472C4" w:themeColor="accent1"/>
                <w:sz w:val="20"/>
                <w:szCs w:val="20"/>
              </w:rPr>
              <w:fldChar w:fldCharType="separate"/>
            </w:r>
            <w:r w:rsidRPr="00F60932">
              <w:rPr>
                <w:rStyle w:val="Hyperlink"/>
                <w:rFonts w:ascii="Arial" w:eastAsia="Times New Roman" w:hAnsi="Arial" w:cs="Arial"/>
                <w:color w:val="4472C4" w:themeColor="accent1"/>
                <w:sz w:val="20"/>
                <w:szCs w:val="20"/>
              </w:rPr>
              <w:t>Guidance by Khan Academy</w:t>
            </w:r>
            <w:r w:rsidR="00F60932" w:rsidRPr="00F60932">
              <w:rPr>
                <w:rStyle w:val="Hyperlink"/>
                <w:rFonts w:ascii="Arial" w:eastAsia="Times New Roman" w:hAnsi="Arial" w:cs="Arial"/>
                <w:color w:val="4472C4" w:themeColor="accent1"/>
                <w:sz w:val="20"/>
                <w:szCs w:val="20"/>
              </w:rPr>
              <w:fldChar w:fldCharType="end"/>
            </w:r>
            <w:bookmarkEnd w:id="0"/>
            <w:r>
              <w:rPr>
                <w:rFonts w:ascii="Arial" w:eastAsia="Times New Roman" w:hAnsi="Arial" w:cs="Arial"/>
                <w:color w:val="000000"/>
                <w:sz w:val="20"/>
                <w:szCs w:val="20"/>
              </w:rPr>
              <w:t xml:space="preserve"> on how to use these resources for remote learning during school closures.</w:t>
            </w:r>
          </w:p>
        </w:tc>
      </w:tr>
      <w:tr w:rsidR="003519EE" w14:paraId="0D8D2AA0" w14:textId="77777777" w:rsidTr="00932E1A">
        <w:tc>
          <w:tcPr>
            <w:tcW w:w="2695" w:type="dxa"/>
          </w:tcPr>
          <w:p w14:paraId="193EF98C" w14:textId="77777777" w:rsidR="003519EE" w:rsidRPr="00F60932" w:rsidRDefault="00F60932" w:rsidP="00932E1A">
            <w:pPr>
              <w:spacing w:before="120" w:after="120" w:line="259" w:lineRule="auto"/>
              <w:rPr>
                <w:color w:val="4472C4" w:themeColor="accent1"/>
                <w:u w:val="single"/>
              </w:rPr>
            </w:pPr>
            <w:hyperlink r:id="rId13" w:history="1">
              <w:proofErr w:type="spellStart"/>
              <w:r w:rsidR="003519EE" w:rsidRPr="00F60932">
                <w:rPr>
                  <w:rStyle w:val="Hyperlink"/>
                  <w:rFonts w:ascii="Arial" w:eastAsia="Times New Roman" w:hAnsi="Arial" w:cs="Arial"/>
                  <w:color w:val="4472C4" w:themeColor="accent1"/>
                  <w:sz w:val="20"/>
                  <w:szCs w:val="20"/>
                </w:rPr>
                <w:t>Mathalicious</w:t>
              </w:r>
              <w:proofErr w:type="spellEnd"/>
            </w:hyperlink>
          </w:p>
        </w:tc>
        <w:tc>
          <w:tcPr>
            <w:tcW w:w="6655" w:type="dxa"/>
          </w:tcPr>
          <w:p w14:paraId="1FF82416" w14:textId="77777777" w:rsidR="003519EE" w:rsidRDefault="003519EE" w:rsidP="00932E1A">
            <w:pPr>
              <w:spacing w:before="120" w:after="120" w:line="259" w:lineRule="auto"/>
            </w:pPr>
            <w:r>
              <w:rPr>
                <w:rFonts w:ascii="Arial" w:eastAsia="Times New Roman" w:hAnsi="Arial" w:cs="Arial"/>
                <w:color w:val="000000"/>
                <w:sz w:val="20"/>
                <w:szCs w:val="20"/>
              </w:rPr>
              <w:t xml:space="preserve">Real-world lessons for middle school and high school.  </w:t>
            </w:r>
          </w:p>
        </w:tc>
      </w:tr>
      <w:tr w:rsidR="003519EE" w14:paraId="78292BBF" w14:textId="77777777" w:rsidTr="00932E1A">
        <w:tc>
          <w:tcPr>
            <w:tcW w:w="2695" w:type="dxa"/>
          </w:tcPr>
          <w:p w14:paraId="7BA8EC4D" w14:textId="77777777" w:rsidR="003519EE" w:rsidRPr="00F60932" w:rsidRDefault="00F60932" w:rsidP="00932E1A">
            <w:pPr>
              <w:spacing w:before="120" w:after="120" w:line="259" w:lineRule="auto"/>
              <w:rPr>
                <w:color w:val="4472C4" w:themeColor="accent1"/>
                <w:u w:val="single"/>
              </w:rPr>
            </w:pPr>
            <w:hyperlink r:id="rId14" w:history="1">
              <w:r w:rsidR="003519EE" w:rsidRPr="00F60932">
                <w:rPr>
                  <w:rStyle w:val="Hyperlink"/>
                  <w:rFonts w:ascii="Arial" w:eastAsia="Times New Roman" w:hAnsi="Arial" w:cs="Arial"/>
                  <w:color w:val="4472C4" w:themeColor="accent1"/>
                  <w:sz w:val="20"/>
                  <w:szCs w:val="20"/>
                </w:rPr>
                <w:t>National Library of Virtual Manipulatives</w:t>
              </w:r>
            </w:hyperlink>
          </w:p>
        </w:tc>
        <w:tc>
          <w:tcPr>
            <w:tcW w:w="6655" w:type="dxa"/>
          </w:tcPr>
          <w:p w14:paraId="1A7E3E4F" w14:textId="77777777" w:rsidR="003519EE" w:rsidRDefault="003519EE" w:rsidP="00932E1A">
            <w:pPr>
              <w:spacing w:before="120" w:after="120" w:line="259" w:lineRule="auto"/>
            </w:pPr>
            <w:r w:rsidRPr="003D71ED">
              <w:rPr>
                <w:rFonts w:ascii="Arial" w:eastAsia="Times New Roman" w:hAnsi="Arial" w:cs="Arial"/>
                <w:color w:val="000000"/>
                <w:sz w:val="20"/>
                <w:szCs w:val="20"/>
              </w:rPr>
              <w:t>Virtual manipulatives</w:t>
            </w:r>
            <w:r>
              <w:rPr>
                <w:rFonts w:ascii="Arial" w:eastAsia="Times New Roman" w:hAnsi="Arial" w:cs="Arial"/>
                <w:color w:val="000000"/>
                <w:sz w:val="20"/>
                <w:szCs w:val="20"/>
              </w:rPr>
              <w:t>.</w:t>
            </w:r>
          </w:p>
        </w:tc>
      </w:tr>
      <w:tr w:rsidR="003519EE" w:rsidRPr="003D71ED" w14:paraId="726DBED6" w14:textId="77777777" w:rsidTr="00932E1A">
        <w:tc>
          <w:tcPr>
            <w:tcW w:w="2695" w:type="dxa"/>
          </w:tcPr>
          <w:p w14:paraId="5E80306D" w14:textId="77777777" w:rsidR="003519EE" w:rsidRPr="00F60932" w:rsidRDefault="00F60932" w:rsidP="00932E1A">
            <w:pPr>
              <w:spacing w:before="120" w:after="120"/>
              <w:rPr>
                <w:rFonts w:ascii="Arial" w:eastAsia="Times New Roman" w:hAnsi="Arial" w:cs="Arial"/>
                <w:color w:val="4472C4" w:themeColor="accent1"/>
                <w:sz w:val="20"/>
                <w:szCs w:val="20"/>
                <w:u w:val="single"/>
              </w:rPr>
            </w:pPr>
            <w:hyperlink r:id="rId15" w:history="1">
              <w:r w:rsidR="003519EE" w:rsidRPr="00F60932">
                <w:rPr>
                  <w:rStyle w:val="Hyperlink"/>
                  <w:rFonts w:ascii="Arial" w:eastAsia="Times New Roman" w:hAnsi="Arial" w:cs="Arial"/>
                  <w:color w:val="4472C4" w:themeColor="accent1"/>
                  <w:sz w:val="20"/>
                  <w:szCs w:val="20"/>
                </w:rPr>
                <w:t>Open Middle</w:t>
              </w:r>
            </w:hyperlink>
          </w:p>
        </w:tc>
        <w:tc>
          <w:tcPr>
            <w:tcW w:w="6655" w:type="dxa"/>
          </w:tcPr>
          <w:p w14:paraId="76CEB11E" w14:textId="77777777" w:rsidR="003519EE" w:rsidRPr="003D71ED" w:rsidRDefault="003519EE" w:rsidP="00932E1A">
            <w:pPr>
              <w:pStyle w:val="NormalWeb"/>
              <w:spacing w:before="120" w:beforeAutospacing="0" w:after="120" w:afterAutospacing="0" w:line="259" w:lineRule="auto"/>
              <w:rPr>
                <w:rFonts w:ascii="Arial" w:hAnsi="Arial" w:cs="Arial"/>
                <w:color w:val="000000"/>
                <w:sz w:val="20"/>
                <w:szCs w:val="20"/>
              </w:rPr>
            </w:pPr>
            <w:r>
              <w:rPr>
                <w:rFonts w:ascii="Arial" w:hAnsi="Arial" w:cs="Arial"/>
                <w:color w:val="000000"/>
                <w:sz w:val="20"/>
                <w:szCs w:val="20"/>
              </w:rPr>
              <w:t>Challenging</w:t>
            </w:r>
            <w:r w:rsidRPr="000028B9">
              <w:rPr>
                <w:rFonts w:ascii="Arial" w:hAnsi="Arial" w:cs="Arial"/>
                <w:color w:val="000000"/>
                <w:sz w:val="20"/>
                <w:szCs w:val="20"/>
              </w:rPr>
              <w:t xml:space="preserve"> math problems </w:t>
            </w:r>
            <w:r>
              <w:rPr>
                <w:rFonts w:ascii="Arial" w:hAnsi="Arial" w:cs="Arial"/>
                <w:color w:val="000000"/>
                <w:sz w:val="20"/>
                <w:szCs w:val="20"/>
              </w:rPr>
              <w:t>designed to</w:t>
            </w:r>
            <w:r w:rsidRPr="000028B9">
              <w:rPr>
                <w:rFonts w:ascii="Arial" w:hAnsi="Arial" w:cs="Arial"/>
                <w:color w:val="000000"/>
                <w:sz w:val="20"/>
                <w:szCs w:val="20"/>
              </w:rPr>
              <w:t xml:space="preserve"> build genuine conceptual understanding, perseverance, and creativity.</w:t>
            </w:r>
          </w:p>
        </w:tc>
      </w:tr>
      <w:tr w:rsidR="003519EE" w14:paraId="6000C7F2" w14:textId="77777777" w:rsidTr="00932E1A">
        <w:tc>
          <w:tcPr>
            <w:tcW w:w="2695" w:type="dxa"/>
          </w:tcPr>
          <w:p w14:paraId="773F0A28" w14:textId="77777777" w:rsidR="003519EE" w:rsidRPr="00F60932" w:rsidRDefault="00F60932" w:rsidP="00932E1A">
            <w:pPr>
              <w:spacing w:before="120" w:after="120" w:line="259" w:lineRule="auto"/>
              <w:rPr>
                <w:color w:val="4472C4" w:themeColor="accent1"/>
                <w:u w:val="single"/>
              </w:rPr>
            </w:pPr>
            <w:hyperlink r:id="rId16" w:history="1">
              <w:r w:rsidR="003519EE" w:rsidRPr="00F60932">
                <w:rPr>
                  <w:rStyle w:val="Hyperlink"/>
                  <w:rFonts w:ascii="Arial" w:hAnsi="Arial" w:cs="Arial"/>
                  <w:color w:val="4472C4" w:themeColor="accent1"/>
                  <w:sz w:val="20"/>
                  <w:szCs w:val="20"/>
                </w:rPr>
                <w:t>Texas Instruments</w:t>
              </w:r>
            </w:hyperlink>
            <w:r w:rsidR="003519EE" w:rsidRPr="00F60932">
              <w:rPr>
                <w:rStyle w:val="Hyperlink"/>
                <w:rFonts w:ascii="Arial" w:hAnsi="Arial" w:cs="Arial"/>
                <w:color w:val="4472C4" w:themeColor="accent1"/>
                <w:sz w:val="20"/>
                <w:szCs w:val="20"/>
              </w:rPr>
              <w:t xml:space="preserve">   </w:t>
            </w:r>
          </w:p>
        </w:tc>
        <w:tc>
          <w:tcPr>
            <w:tcW w:w="6655" w:type="dxa"/>
          </w:tcPr>
          <w:p w14:paraId="48758875" w14:textId="77777777" w:rsidR="003519EE" w:rsidRDefault="003519EE" w:rsidP="00932E1A">
            <w:pPr>
              <w:pStyle w:val="NormalWeb"/>
              <w:spacing w:before="120" w:beforeAutospacing="0" w:after="120" w:afterAutospacing="0" w:line="259" w:lineRule="auto"/>
            </w:pPr>
            <w:r w:rsidRPr="00594627">
              <w:rPr>
                <w:rFonts w:ascii="Arial" w:hAnsi="Arial" w:cs="Arial"/>
                <w:color w:val="000000"/>
                <w:sz w:val="20"/>
                <w:szCs w:val="20"/>
              </w:rPr>
              <w:t>Downloads, activities, professional development opportunities and general resources including test prep.</w:t>
            </w:r>
          </w:p>
        </w:tc>
      </w:tr>
      <w:tr w:rsidR="003519EE" w14:paraId="5143E8D4" w14:textId="77777777" w:rsidTr="00932E1A">
        <w:tc>
          <w:tcPr>
            <w:tcW w:w="2695" w:type="dxa"/>
          </w:tcPr>
          <w:p w14:paraId="190367C8" w14:textId="77777777" w:rsidR="003519EE" w:rsidRPr="00F60932" w:rsidRDefault="00F60932" w:rsidP="00932E1A">
            <w:pPr>
              <w:spacing w:before="120" w:after="120" w:line="259" w:lineRule="auto"/>
              <w:rPr>
                <w:color w:val="4472C4" w:themeColor="accent1"/>
                <w:u w:val="single"/>
              </w:rPr>
            </w:pPr>
            <w:hyperlink r:id="rId17" w:tgtFrame="_blank" w:history="1">
              <w:r w:rsidR="003519EE" w:rsidRPr="00F60932">
                <w:rPr>
                  <w:rStyle w:val="Hyperlink"/>
                  <w:rFonts w:ascii="Calibri" w:hAnsi="Calibri" w:cs="Calibri"/>
                  <w:color w:val="4472C4" w:themeColor="accent1"/>
                  <w:shd w:val="clear" w:color="auto" w:fill="FFFFFF"/>
                </w:rPr>
                <w:t>Turner’s Graph of the W</w:t>
              </w:r>
              <w:r w:rsidR="003519EE" w:rsidRPr="00F60932">
                <w:rPr>
                  <w:rStyle w:val="Hyperlink"/>
                  <w:color w:val="4472C4" w:themeColor="accent1"/>
                </w:rPr>
                <w:t>eek</w:t>
              </w:r>
            </w:hyperlink>
            <w:r w:rsidR="003519EE" w:rsidRPr="00F60932">
              <w:rPr>
                <w:rStyle w:val="normaltextrun"/>
                <w:rFonts w:ascii="Calibri" w:hAnsi="Calibri" w:cs="Calibri"/>
                <w:color w:val="4472C4" w:themeColor="accent1"/>
                <w:u w:val="single"/>
                <w:shd w:val="clear" w:color="auto" w:fill="FFFFFF"/>
              </w:rPr>
              <w:t xml:space="preserve"> </w:t>
            </w:r>
          </w:p>
        </w:tc>
        <w:tc>
          <w:tcPr>
            <w:tcW w:w="6655" w:type="dxa"/>
          </w:tcPr>
          <w:p w14:paraId="32B12778" w14:textId="77777777" w:rsidR="003519EE" w:rsidRDefault="003519EE" w:rsidP="00932E1A">
            <w:pPr>
              <w:pStyle w:val="NormalWeb"/>
              <w:spacing w:before="120" w:beforeAutospacing="0" w:after="120" w:afterAutospacing="0" w:line="259" w:lineRule="auto"/>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t>G</w:t>
            </w:r>
            <w:r>
              <w:rPr>
                <w:rStyle w:val="normaltextrun"/>
                <w:rFonts w:ascii="Calibri" w:hAnsi="Calibri" w:cs="Calibri"/>
                <w:color w:val="000000"/>
                <w:bdr w:val="none" w:sz="0" w:space="0" w:color="auto" w:frame="1"/>
              </w:rPr>
              <w:t>raphs designed to improve</w:t>
            </w:r>
            <w:r>
              <w:rPr>
                <w:rStyle w:val="normaltextrun"/>
                <w:rFonts w:ascii="Calibri" w:hAnsi="Calibri" w:cs="Calibri"/>
                <w:color w:val="000000"/>
                <w:sz w:val="22"/>
                <w:szCs w:val="22"/>
                <w:bdr w:val="none" w:sz="0" w:space="0" w:color="auto" w:frame="1"/>
              </w:rPr>
              <w:t xml:space="preserve"> math l</w:t>
            </w:r>
            <w:r>
              <w:rPr>
                <w:rStyle w:val="normaltextrun"/>
                <w:rFonts w:ascii="Calibri" w:hAnsi="Calibri" w:cs="Calibri"/>
                <w:color w:val="000000"/>
                <w:bdr w:val="none" w:sz="0" w:space="0" w:color="auto" w:frame="1"/>
              </w:rPr>
              <w:t>iteracy and help students become</w:t>
            </w:r>
            <w:r>
              <w:rPr>
                <w:rStyle w:val="normaltextrun"/>
                <w:rFonts w:ascii="Calibri" w:hAnsi="Calibri" w:cs="Calibri"/>
                <w:color w:val="000000"/>
                <w:sz w:val="22"/>
                <w:szCs w:val="22"/>
                <w:bdr w:val="none" w:sz="0" w:space="0" w:color="auto" w:frame="1"/>
              </w:rPr>
              <w:t xml:space="preserve"> sharper, analytical thinkers in today's world.  Students communicate their critical thinking and analysis </w:t>
            </w:r>
            <w:r>
              <w:rPr>
                <w:rStyle w:val="normaltextrun"/>
                <w:rFonts w:ascii="Calibri" w:hAnsi="Calibri" w:cs="Calibri"/>
                <w:color w:val="000000"/>
                <w:bdr w:val="none" w:sz="0" w:space="0" w:color="auto" w:frame="1"/>
              </w:rPr>
              <w:t>of graphs</w:t>
            </w:r>
            <w:r>
              <w:rPr>
                <w:rStyle w:val="normaltextrun"/>
                <w:rFonts w:ascii="Calibri" w:hAnsi="Calibri" w:cs="Calibri"/>
                <w:color w:val="000000"/>
                <w:sz w:val="22"/>
                <w:szCs w:val="22"/>
                <w:bdr w:val="none" w:sz="0" w:space="0" w:color="auto" w:frame="1"/>
              </w:rPr>
              <w:t xml:space="preserve"> through writing. - Grades 6-12</w:t>
            </w:r>
          </w:p>
        </w:tc>
      </w:tr>
      <w:tr w:rsidR="003519EE" w:rsidRPr="00E41961" w14:paraId="0D6E45E6" w14:textId="77777777" w:rsidTr="00932E1A">
        <w:tc>
          <w:tcPr>
            <w:tcW w:w="2695" w:type="dxa"/>
          </w:tcPr>
          <w:p w14:paraId="3547FCBC" w14:textId="77777777" w:rsidR="003519EE" w:rsidRPr="00F60932" w:rsidRDefault="003519EE" w:rsidP="00932E1A">
            <w:pPr>
              <w:spacing w:before="120" w:after="120" w:line="259" w:lineRule="auto"/>
              <w:rPr>
                <w:rStyle w:val="Hyperlink"/>
                <w:rFonts w:ascii="Arial" w:hAnsi="Arial" w:cs="Arial"/>
                <w:color w:val="4472C4" w:themeColor="accent1"/>
                <w:sz w:val="20"/>
                <w:szCs w:val="20"/>
              </w:rPr>
            </w:pPr>
            <w:hyperlink r:id="rId18" w:tgtFrame="_blank" w:history="1">
              <w:r w:rsidRPr="00F60932">
                <w:rPr>
                  <w:rStyle w:val="normaltextrun"/>
                  <w:rFonts w:ascii="Calibri" w:hAnsi="Calibri" w:cs="Calibri"/>
                  <w:color w:val="4472C4" w:themeColor="accent1"/>
                  <w:u w:val="single"/>
                  <w:shd w:val="clear" w:color="auto" w:fill="FFFFFF"/>
                </w:rPr>
                <w:t>Which One Doesn't Belong</w:t>
              </w:r>
            </w:hyperlink>
            <w:r w:rsidRPr="00F60932">
              <w:rPr>
                <w:color w:val="4472C4" w:themeColor="accent1"/>
                <w:u w:val="single"/>
              </w:rPr>
              <w:t xml:space="preserve"> </w:t>
            </w:r>
          </w:p>
        </w:tc>
        <w:tc>
          <w:tcPr>
            <w:tcW w:w="6655" w:type="dxa"/>
          </w:tcPr>
          <w:p w14:paraId="25B78B78" w14:textId="77777777" w:rsidR="003519EE" w:rsidRPr="00E41961" w:rsidRDefault="003519EE" w:rsidP="00932E1A">
            <w:pPr>
              <w:pStyle w:val="NormalWeb"/>
              <w:spacing w:before="120" w:beforeAutospacing="0" w:after="120" w:afterAutospacing="0" w:line="259" w:lineRule="auto"/>
              <w:rPr>
                <w:rStyle w:val="normaltextrun"/>
                <w:rFonts w:ascii="Calibri" w:hAnsi="Calibri" w:cs="Calibri"/>
                <w:sz w:val="22"/>
                <w:szCs w:val="22"/>
                <w:bdr w:val="none" w:sz="0" w:space="0" w:color="auto" w:frame="1"/>
              </w:rPr>
            </w:pPr>
            <w:r>
              <w:rPr>
                <w:rStyle w:val="normaltextrun"/>
                <w:rFonts w:ascii="Calibri" w:hAnsi="Calibri" w:cs="Calibri"/>
                <w:color w:val="000000"/>
                <w:sz w:val="22"/>
                <w:szCs w:val="22"/>
                <w:bdr w:val="none" w:sz="0" w:space="0" w:color="auto" w:frame="1"/>
              </w:rPr>
              <w:t>Thought-provoking puzzles for math teachers and students to prompt prior knowledge and develop mathematical connections. No answers provided as there are many different and correct ways of choosing which one doesn't belong. - Grades PK-12</w:t>
            </w:r>
          </w:p>
        </w:tc>
      </w:tr>
    </w:tbl>
    <w:p w14:paraId="5A7C5116" w14:textId="77777777" w:rsidR="002B398A" w:rsidRDefault="002B398A"/>
    <w:sectPr w:rsidR="002B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EE"/>
    <w:rsid w:val="000243BB"/>
    <w:rsid w:val="002B398A"/>
    <w:rsid w:val="003519EE"/>
    <w:rsid w:val="00F6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9448"/>
  <w15:chartTrackingRefBased/>
  <w15:docId w15:val="{94788185-EB6A-4D27-A7BD-47DB2D50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9EE"/>
    <w:rPr>
      <w:color w:val="0000FF"/>
      <w:u w:val="single"/>
    </w:rPr>
  </w:style>
  <w:style w:type="paragraph" w:styleId="NormalWeb">
    <w:name w:val="Normal (Web)"/>
    <w:basedOn w:val="Normal"/>
    <w:uiPriority w:val="99"/>
    <w:unhideWhenUsed/>
    <w:rsid w:val="003519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5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519EE"/>
  </w:style>
  <w:style w:type="character" w:styleId="FollowedHyperlink">
    <w:name w:val="FollowedHyperlink"/>
    <w:basedOn w:val="DefaultParagraphFont"/>
    <w:uiPriority w:val="99"/>
    <w:semiHidden/>
    <w:unhideWhenUsed/>
    <w:rsid w:val="00351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landmaths.org.uk/index.html" TargetMode="External"/><Relationship Id="rId13" Type="http://schemas.openxmlformats.org/officeDocument/2006/relationships/hyperlink" Target="https://www.mathalicious.com/lessons" TargetMode="External"/><Relationship Id="rId18" Type="http://schemas.openxmlformats.org/officeDocument/2006/relationships/hyperlink" Target="https://wodb.ca/" TargetMode="External"/><Relationship Id="rId3" Type="http://schemas.openxmlformats.org/officeDocument/2006/relationships/customXml" Target="../customXml/item3.xml"/><Relationship Id="rId7" Type="http://schemas.openxmlformats.org/officeDocument/2006/relationships/hyperlink" Target="http://bedtimemath.org/category/daily-math/" TargetMode="External"/><Relationship Id="rId12" Type="http://schemas.openxmlformats.org/officeDocument/2006/relationships/hyperlink" Target="https://www.khanacademy.org/math" TargetMode="External"/><Relationship Id="rId17" Type="http://schemas.openxmlformats.org/officeDocument/2006/relationships/hyperlink" Target="https://www.turnersgraphoftheweek.com/" TargetMode="External"/><Relationship Id="rId2" Type="http://schemas.openxmlformats.org/officeDocument/2006/relationships/customXml" Target="../customXml/item2.xml"/><Relationship Id="rId16" Type="http://schemas.openxmlformats.org/officeDocument/2006/relationships/hyperlink" Target="https://education.ti.com/en?keyMatch=EDUCATION&amp;tisearch=Search-EN-everyth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evewyborney.com/2019/09/51-esti-mysteries/" TargetMode="External"/><Relationship Id="rId5" Type="http://schemas.openxmlformats.org/officeDocument/2006/relationships/settings" Target="settings.xml"/><Relationship Id="rId15" Type="http://schemas.openxmlformats.org/officeDocument/2006/relationships/hyperlink" Target="https://www.openmiddle.com/" TargetMode="External"/><Relationship Id="rId10" Type="http://schemas.openxmlformats.org/officeDocument/2006/relationships/hyperlink" Target="http://www.estimation180.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esmos.com/" TargetMode="External"/><Relationship Id="rId14" Type="http://schemas.openxmlformats.org/officeDocument/2006/relationships/hyperlink" Target="http://nlvm.usu.edu/en/nav/vlibr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48A03CFDA6845BA93F76BA9624E50" ma:contentTypeVersion="13" ma:contentTypeDescription="Create a new document." ma:contentTypeScope="" ma:versionID="d35e495414aeb98271dce2bb84f093b1">
  <xsd:schema xmlns:xsd="http://www.w3.org/2001/XMLSchema" xmlns:xs="http://www.w3.org/2001/XMLSchema" xmlns:p="http://schemas.microsoft.com/office/2006/metadata/properties" xmlns:ns3="a527ce67-8c08-490b-bc98-e67fcc36d839" xmlns:ns4="2c62132e-3a25-4999-8b0e-155776c76ef4" targetNamespace="http://schemas.microsoft.com/office/2006/metadata/properties" ma:root="true" ma:fieldsID="6983547e339083b1fb3f6f91c6e71e1e" ns3:_="" ns4:_="">
    <xsd:import namespace="a527ce67-8c08-490b-bc98-e67fcc36d839"/>
    <xsd:import namespace="2c62132e-3a25-4999-8b0e-155776c76e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7ce67-8c08-490b-bc98-e67fcc36d8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2132e-3a25-4999-8b0e-155776c76e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EA573-F733-4D1A-8329-F1E30FF22CE4}">
  <ds:schemaRefs>
    <ds:schemaRef ds:uri="http://schemas.microsoft.com/office/2006/metadata/properties"/>
    <ds:schemaRef ds:uri="2c62132e-3a25-4999-8b0e-155776c76ef4"/>
    <ds:schemaRef ds:uri="http://purl.org/dc/terms/"/>
    <ds:schemaRef ds:uri="a527ce67-8c08-490b-bc98-e67fcc36d839"/>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58B0EF3-7386-4DE4-A6D7-C4CF189532D3}">
  <ds:schemaRefs>
    <ds:schemaRef ds:uri="http://schemas.microsoft.com/sharepoint/v3/contenttype/forms"/>
  </ds:schemaRefs>
</ds:datastoreItem>
</file>

<file path=customXml/itemProps3.xml><?xml version="1.0" encoding="utf-8"?>
<ds:datastoreItem xmlns:ds="http://schemas.openxmlformats.org/officeDocument/2006/customXml" ds:itemID="{D1DC09F6-2586-406B-9B84-849F9BC7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7ce67-8c08-490b-bc98-e67fcc36d839"/>
    <ds:schemaRef ds:uri="2c62132e-3a25-4999-8b0e-155776c7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Burke</dc:creator>
  <cp:keywords/>
  <dc:description/>
  <cp:lastModifiedBy>Cindy Burke</cp:lastModifiedBy>
  <cp:revision>3</cp:revision>
  <cp:lastPrinted>2020-03-19T18:16:00Z</cp:lastPrinted>
  <dcterms:created xsi:type="dcterms:W3CDTF">2020-03-19T18:15:00Z</dcterms:created>
  <dcterms:modified xsi:type="dcterms:W3CDTF">2020-03-19T18:18:00Z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0x010100CB348A03CFDA6845BA93F76BA9624E50</vt:lpwstr>
  </property>
</Properties>
</file>